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4</w:t>
      </w:r>
      <w:r>
        <w:rPr>
          <w:b/>
          <w:bCs/>
          <w:sz w:val="28"/>
          <w:szCs w:val="28"/>
        </w:rPr>
        <w:t xml:space="preserve">: </w:t>
      </w:r>
      <w:r>
        <w:rPr>
          <w:b/>
          <w:bCs/>
          <w:color w:val="000000"/>
          <w:sz w:val="28"/>
          <w:szCs w:val="28"/>
          <w:u w:val="single"/>
        </w:rPr>
        <w:t>Diagnostic de raccordement aux réseaux de collecte des eaux usées et des eaux pluviales</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Standard"/>
        <w:rPr>
          <w:rFonts w:ascii="Arial" w:hAnsi="Arial"/>
          <w:sz w:val="22"/>
          <w:szCs w:val="22"/>
        </w:rPr>
      </w:pPr>
      <w:r>
        <w:rPr>
          <w:rFonts w:ascii="Arial" w:hAnsi="Arial"/>
          <w:color w:val="000000"/>
          <w:sz w:val="22"/>
          <w:szCs w:val="22"/>
          <w:lang w:val="fr-FR"/>
        </w:rPr>
        <w:t>Nom de l’entreprise :</w:t>
      </w:r>
    </w:p>
    <w:p>
      <w:pPr>
        <w:pStyle w:val="Standard"/>
        <w:rPr>
          <w:rFonts w:ascii="Arial" w:hAnsi="Arial"/>
          <w:sz w:val="22"/>
          <w:szCs w:val="22"/>
        </w:rPr>
      </w:pPr>
      <w:r>
        <w:rPr>
          <w:rFonts w:ascii="Arial" w:hAnsi="Arial"/>
          <w:color w:val="000000"/>
          <w:sz w:val="22"/>
          <w:szCs w:val="22"/>
          <w:lang w:val="fr-FR"/>
        </w:rPr>
        <w:t>SIRET :</w:t>
      </w:r>
    </w:p>
    <w:p>
      <w:pPr>
        <w:pStyle w:val="Standard"/>
        <w:jc w:val="both"/>
        <w:rPr>
          <w:rFonts w:ascii="Arial" w:hAnsi="Arial" w:cs="Arial"/>
          <w:color w:val="000000"/>
          <w:sz w:val="22"/>
          <w:szCs w:val="22"/>
          <w:u w:val="none"/>
          <w:lang w:val="fr-FR"/>
        </w:rPr>
      </w:pPr>
      <w:r>
        <w:rPr>
          <w:rFonts w:cs="Arial" w:ascii="Arial" w:hAnsi="Arial"/>
          <w:color w:val="000000"/>
          <w:sz w:val="22"/>
          <w:szCs w:val="22"/>
          <w:u w:val="none"/>
          <w:lang w:val="fr-FR"/>
        </w:rPr>
      </w:r>
    </w:p>
    <w:p>
      <w:pPr>
        <w:pStyle w:val="Normal"/>
        <w:jc w:val="both"/>
        <w:rPr>
          <w:rFonts w:ascii="Arial" w:hAnsi="Arial" w:cs="Arial"/>
          <w:color w:val="000000"/>
          <w:sz w:val="22"/>
          <w:szCs w:val="22"/>
          <w:u w:val="none"/>
          <w:lang w:val="fr-FR"/>
        </w:rPr>
      </w:pPr>
      <w:r>
        <w:rPr>
          <w:rFonts w:cs="Arial"/>
          <w:color w:val="000000"/>
          <w:sz w:val="22"/>
          <w:szCs w:val="22"/>
          <w:u w:val="none"/>
          <w:lang w:val="fr-FR"/>
        </w:rPr>
      </w:r>
    </w:p>
    <w:p>
      <w:pPr>
        <w:pStyle w:val="Titre1"/>
        <w:numPr>
          <w:ilvl w:val="0"/>
          <w:numId w:val="0"/>
        </w:numPr>
        <w:ind w:left="360" w:hanging="0"/>
        <w:rPr/>
      </w:pPr>
      <w:r>
        <w:rPr>
          <w:rStyle w:val="SoustitreCar"/>
          <w:rFonts w:eastAsia="" w:eastAsiaTheme="majorEastAsia"/>
          <w:b/>
          <w:color w:val="000000"/>
          <w:sz w:val="24"/>
          <w:szCs w:val="32"/>
        </w:rPr>
        <w:t>Valeur technique (noté sur 50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Qualité de l’organisation et des moyens humains pour l’exécution des prestations (25 pts – évalué au regard des exigences du CCTP)</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color w:val="000000"/>
              </w:rPr>
            </w:pPr>
            <w:r>
              <w:rPr>
                <w:color w:val="000000"/>
                <w:sz w:val="22"/>
                <w:szCs w:val="22"/>
              </w:rPr>
              <w:t xml:space="preserve">1) </w:t>
            </w:r>
            <w:r>
              <w:rPr>
                <w:i/>
                <w:iCs/>
                <w:color w:val="000000"/>
                <w:sz w:val="22"/>
                <w:szCs w:val="22"/>
              </w:rPr>
              <w:t>Indiquez ci-après la liste des intervenants dédiés à l’exécution des prestations commandées, leurs qualifications, expériences et rôles.</w:t>
            </w:r>
          </w:p>
          <w:p>
            <w:pPr>
              <w:pStyle w:val="Contenudetableau"/>
              <w:widowControl w:val="false"/>
              <w:jc w:val="both"/>
              <w:rPr>
                <w:color w:val="000000"/>
              </w:rPr>
            </w:pPr>
            <w:r>
              <w:rPr>
                <w:color w:val="000000"/>
              </w:rPr>
            </w:r>
          </w:p>
          <w:p>
            <w:pPr>
              <w:pStyle w:val="Contenudetableau"/>
              <w:widowControl w:val="false"/>
              <w:jc w:val="both"/>
              <w:rPr>
                <w:color w:val="000000"/>
              </w:rPr>
            </w:pPr>
            <w:r>
              <w:rPr>
                <w:color w:val="000000"/>
                <w:sz w:val="22"/>
                <w:szCs w:val="22"/>
              </w:rPr>
              <w:t>- Pour la partie administrative (à chaque étape identifiée au CCTP) :</w:t>
            </w:r>
          </w:p>
          <w:p>
            <w:pPr>
              <w:pStyle w:val="Contenudetableau"/>
              <w:widowControl w:val="false"/>
              <w:jc w:val="both"/>
              <w:rPr>
                <w:color w:val="000000"/>
              </w:rPr>
            </w:pPr>
            <w:r>
              <w:rPr>
                <w:color w:val="000000"/>
              </w:rPr>
            </w:r>
          </w:p>
          <w:p>
            <w:pPr>
              <w:pStyle w:val="Contenudetableau"/>
              <w:widowControl w:val="false"/>
              <w:jc w:val="both"/>
              <w:rPr>
                <w:color w:val="000000"/>
              </w:rPr>
            </w:pPr>
            <w:r>
              <w:rPr>
                <w:color w:val="000000"/>
                <w:sz w:val="22"/>
                <w:szCs w:val="22"/>
              </w:rPr>
              <w:t>=&gt;</w:t>
            </w:r>
          </w:p>
          <w:p>
            <w:pPr>
              <w:pStyle w:val="Contenudetableau"/>
              <w:widowControl w:val="false"/>
              <w:jc w:val="both"/>
              <w:rPr>
                <w:color w:val="000000"/>
              </w:rPr>
            </w:pPr>
            <w:r>
              <w:rPr>
                <w:color w:val="000000"/>
              </w:rPr>
            </w:r>
          </w:p>
          <w:p>
            <w:pPr>
              <w:pStyle w:val="Contenudetableau"/>
              <w:widowControl w:val="false"/>
              <w:jc w:val="both"/>
              <w:rPr>
                <w:color w:val="000000"/>
              </w:rPr>
            </w:pPr>
            <w:r>
              <w:rPr>
                <w:color w:val="000000"/>
                <w:sz w:val="22"/>
                <w:szCs w:val="22"/>
              </w:rPr>
              <w:t>- Pour la partie exécution technique (à chaque étape identifiée au CCTP) :</w:t>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color w:val="000000"/>
                <w:sz w:val="22"/>
                <w:szCs w:val="22"/>
              </w:rPr>
            </w:pPr>
            <w:r>
              <w:rPr>
                <w:color w:val="000000"/>
                <w:sz w:val="22"/>
                <w:szCs w:val="22"/>
              </w:rPr>
              <w:t>=&gt;</w:t>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pPr>
            <w:r>
              <w:rPr>
                <w:color w:val="000000"/>
                <w:sz w:val="22"/>
                <w:szCs w:val="22"/>
              </w:rPr>
              <w:t>2)</w:t>
            </w:r>
            <w:r>
              <w:rPr>
                <w:i/>
                <w:iCs/>
                <w:color w:val="000000"/>
                <w:sz w:val="22"/>
                <w:szCs w:val="22"/>
              </w:rPr>
              <w:t xml:space="preserve"> Détaillez votre organisation pour assurer la relation avec la conduite d’opération à chaque étape d’exécution d’un bon de commande (identification des interlocuteurs/services dédiés...) :</w:t>
            </w:r>
          </w:p>
          <w:p>
            <w:pPr>
              <w:pStyle w:val="Contenudetableau"/>
              <w:widowControl w:val="false"/>
              <w:jc w:val="both"/>
              <w:rPr/>
            </w:pPr>
            <w:r>
              <w:rPr>
                <w:color w:val="000000"/>
                <w:sz w:val="22"/>
                <w:szCs w:val="22"/>
              </w:rPr>
              <w:br/>
              <w:t>- pour le suivi du contrat  =&gt;</w:t>
            </w:r>
          </w:p>
          <w:p>
            <w:pPr>
              <w:pStyle w:val="Contenudetableau"/>
              <w:widowControl w:val="false"/>
              <w:jc w:val="both"/>
              <w:rPr/>
            </w:pPr>
            <w:r>
              <w:rPr>
                <w:color w:val="000000"/>
                <w:sz w:val="22"/>
                <w:szCs w:val="22"/>
              </w:rPr>
              <w:br/>
              <w:t>- à réception d’une commande =&gt;</w:t>
            </w:r>
          </w:p>
          <w:p>
            <w:pPr>
              <w:pStyle w:val="Contenudetableau"/>
              <w:widowControl w:val="false"/>
              <w:jc w:val="both"/>
              <w:rPr/>
            </w:pPr>
            <w:r>
              <w:rPr>
                <w:color w:val="000000"/>
                <w:sz w:val="22"/>
                <w:szCs w:val="22"/>
              </w:rPr>
              <w:br/>
              <w:t>- en cours d’exécution =&gt;</w:t>
            </w:r>
          </w:p>
          <w:p>
            <w:pPr>
              <w:pStyle w:val="Contenudetableau"/>
              <w:widowControl w:val="false"/>
              <w:jc w:val="left"/>
              <w:rPr/>
            </w:pPr>
            <w:r>
              <w:rPr>
                <w:color w:val="000000"/>
                <w:sz w:val="22"/>
                <w:szCs w:val="22"/>
              </w:rPr>
              <w:br/>
              <w:t>- pour l’admission des prestations =&gt;</w:t>
            </w:r>
          </w:p>
          <w:p>
            <w:pPr>
              <w:pStyle w:val="Contenudetableau"/>
              <w:widowControl w:val="false"/>
              <w:jc w:val="left"/>
              <w:rPr>
                <w:color w:val="000000"/>
                <w:sz w:val="22"/>
                <w:szCs w:val="22"/>
              </w:rPr>
            </w:pPr>
            <w:r>
              <w:rPr>
                <w:color w:val="000000"/>
                <w:sz w:val="22"/>
                <w:szCs w:val="22"/>
              </w:rPr>
            </w:r>
          </w:p>
          <w:p>
            <w:pPr>
              <w:pStyle w:val="Contenudetableau"/>
              <w:widowControl w:val="false"/>
              <w:jc w:val="left"/>
              <w:rPr/>
            </w:pPr>
            <w:r>
              <w:rPr>
                <w:i/>
                <w:iCs/>
                <w:color w:val="000000"/>
                <w:sz w:val="22"/>
                <w:szCs w:val="22"/>
              </w:rPr>
              <w:t>Indiquez en sus pour chaque étape identifiée au CCTP les modalités d’exécution afférentes (modalités d’assistance téléphonique, modalités de traitement des réclamations et exemple de réponse…)</w:t>
            </w:r>
            <w:r>
              <w:rPr>
                <w:color w:val="000000"/>
                <w:sz w:val="22"/>
                <w:szCs w:val="22"/>
              </w:rPr>
              <w:t>:</w:t>
            </w:r>
          </w:p>
          <w:p>
            <w:pPr>
              <w:pStyle w:val="Contenudetableau"/>
              <w:widowControl w:val="false"/>
              <w:jc w:val="left"/>
              <w:rPr>
                <w:color w:val="000000"/>
                <w:sz w:val="22"/>
                <w:szCs w:val="22"/>
              </w:rPr>
            </w:pPr>
            <w:r>
              <w:rPr>
                <w:color w:val="000000"/>
                <w:sz w:val="22"/>
                <w:szCs w:val="22"/>
              </w:rPr>
            </w:r>
          </w:p>
          <w:p>
            <w:pPr>
              <w:pStyle w:val="Contenudetableau"/>
              <w:widowControl w:val="false"/>
              <w:jc w:val="left"/>
              <w:rPr/>
            </w:pPr>
            <w:r>
              <w:rPr>
                <w:color w:val="000000"/>
                <w:sz w:val="22"/>
                <w:szCs w:val="22"/>
              </w:rPr>
              <w:t>=&gt;</w:t>
              <w:br/>
            </w:r>
          </w:p>
          <w:p>
            <w:pPr>
              <w:pStyle w:val="Contenudetableau"/>
              <w:widowControl w:val="false"/>
              <w:jc w:val="both"/>
              <w:rPr/>
            </w:pPr>
            <w:r>
              <w:rPr/>
            </w:r>
          </w:p>
          <w:p>
            <w:pPr>
              <w:pStyle w:val="Contenudetableau"/>
              <w:widowControl w:val="false"/>
              <w:jc w:val="both"/>
              <w:rPr/>
            </w:pPr>
            <w:r>
              <w:rPr>
                <w:color w:val="000000"/>
                <w:sz w:val="22"/>
                <w:szCs w:val="22"/>
              </w:rPr>
              <w:t xml:space="preserve">3) </w:t>
            </w:r>
            <w:r>
              <w:rPr>
                <w:i/>
                <w:iCs/>
                <w:color w:val="000000"/>
                <w:sz w:val="22"/>
                <w:szCs w:val="22"/>
              </w:rPr>
              <w:t>Quelles solutions de contournement ou d’amélioration pouvez-vous proposer en cas de difficultés constatées sur un défaut de moyens humains, y compris temporaire, pour maintenir votre capacité et qualité de réponse aux demandes de l’acheteur :</w:t>
            </w:r>
          </w:p>
          <w:p>
            <w:pPr>
              <w:pStyle w:val="Contenudetableau"/>
              <w:widowControl w:val="false"/>
              <w:jc w:val="both"/>
              <w:rPr/>
            </w:pPr>
            <w:r>
              <w:rPr>
                <w:color w:val="000000"/>
                <w:sz w:val="22"/>
                <w:szCs w:val="22"/>
              </w:rPr>
              <w:br/>
              <w:t>- pour le suivi du contrat =&gt;</w:t>
            </w:r>
          </w:p>
          <w:p>
            <w:pPr>
              <w:pStyle w:val="Contenudetableau"/>
              <w:widowControl w:val="false"/>
              <w:jc w:val="both"/>
              <w:rPr/>
            </w:pPr>
            <w:r>
              <w:rPr>
                <w:color w:val="000000"/>
                <w:sz w:val="22"/>
                <w:szCs w:val="22"/>
              </w:rPr>
              <w:br/>
              <w:t>- à réception d’une commande =&gt;</w:t>
            </w:r>
          </w:p>
          <w:p>
            <w:pPr>
              <w:pStyle w:val="Contenudetableau"/>
              <w:widowControl w:val="false"/>
              <w:jc w:val="both"/>
              <w:rPr/>
            </w:pPr>
            <w:r>
              <w:rPr>
                <w:color w:val="000000"/>
                <w:sz w:val="22"/>
                <w:szCs w:val="22"/>
              </w:rPr>
              <w:br/>
              <w:t>- en cours d’exécution =&gt;</w:t>
            </w:r>
          </w:p>
          <w:p>
            <w:pPr>
              <w:pStyle w:val="Contenudetableau"/>
              <w:widowControl w:val="false"/>
              <w:jc w:val="both"/>
              <w:rPr/>
            </w:pPr>
            <w:r>
              <w:rPr>
                <w:color w:val="000000"/>
                <w:sz w:val="22"/>
                <w:szCs w:val="22"/>
              </w:rPr>
              <w:br/>
              <w:t>- pour l’admission des prestations =&gt;</w:t>
            </w:r>
          </w:p>
          <w:p>
            <w:pPr>
              <w:pStyle w:val="Contenudetableau"/>
              <w:widowControl w:val="false"/>
              <w:jc w:val="both"/>
              <w:rPr/>
            </w:pPr>
            <w:r>
              <w:rPr>
                <w:color w:val="000000"/>
                <w:sz w:val="22"/>
                <w:szCs w:val="22"/>
              </w:rPr>
              <w:br/>
            </w:r>
            <w:commentRangeStart w:id="0"/>
            <w:r>
              <w:rPr>
                <w:color w:val="000000"/>
                <w:sz w:val="22"/>
                <w:szCs w:val="22"/>
              </w:rPr>
              <w:t>- axe d’amélioration de l’exécution de la prestation performances =&gt;</w:t>
            </w:r>
            <w:r>
              <w:rPr>
                <w:color w:val="000000"/>
                <w:sz w:val="22"/>
                <w:szCs w:val="22"/>
              </w:rPr>
            </w:r>
            <w:commentRangeEnd w:id="0"/>
            <w:r>
              <w:commentReference w:id="0"/>
            </w:r>
            <w:r>
              <w:rPr/>
              <w:commentReference w:id="1"/>
            </w:r>
            <w:r>
              <w:rPr/>
              <w:commentReference w:id="2"/>
            </w:r>
          </w:p>
          <w:p>
            <w:pPr>
              <w:pStyle w:val="Contenudetableau"/>
              <w:widowControl w:val="false"/>
              <w:jc w:val="both"/>
              <w:rPr/>
            </w:pPr>
            <w:r>
              <w:rPr/>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t xml:space="preserve">4) </w:t>
            </w:r>
            <w:r>
              <w:rPr>
                <w:i/>
                <w:iCs/>
                <w:color w:val="000000"/>
                <w:sz w:val="22"/>
                <w:szCs w:val="22"/>
              </w:rPr>
              <w:t>Pouvez-vous expliquer comment votre organisation interne et les moyens humains dédiés permettront, selon vous, de répondre aux exigences définies au cahier des charges ?</w:t>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t>=&gt;</w:t>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t xml:space="preserve">5) </w:t>
            </w:r>
            <w:r>
              <w:rPr>
                <w:i/>
                <w:iCs/>
                <w:color w:val="000000"/>
                <w:sz w:val="22"/>
                <w:szCs w:val="22"/>
              </w:rPr>
              <w:t>Précisez les modalités prévues pour faciliter le circuit de validation des attachements et l’admission des prestations avec la conduite d’opération.</w:t>
            </w:r>
          </w:p>
          <w:p>
            <w:pPr>
              <w:pStyle w:val="Contenudetableau"/>
              <w:widowControl w:val="false"/>
              <w:jc w:val="both"/>
              <w:rPr>
                <w:i w:val="false"/>
                <w:i w:val="false"/>
                <w:iCs w:val="false"/>
              </w:rPr>
            </w:pPr>
            <w:r>
              <w:rPr>
                <w:i w:val="false"/>
                <w:iCs w:val="false"/>
              </w:rPr>
            </w:r>
          </w:p>
          <w:p>
            <w:pPr>
              <w:pStyle w:val="Contenudetableau"/>
              <w:widowControl w:val="false"/>
              <w:jc w:val="both"/>
              <w:rPr>
                <w:rFonts w:ascii="Arial" w:hAnsi="Arial"/>
                <w:color w:val="000000"/>
                <w:sz w:val="22"/>
                <w:szCs w:val="22"/>
              </w:rPr>
            </w:pPr>
            <w:r>
              <w:rPr>
                <w:i w:val="false"/>
                <w:iCs w:val="false"/>
                <w:color w:val="000000"/>
                <w:sz w:val="22"/>
                <w:szCs w:val="22"/>
              </w:rPr>
              <w:t>=&gt;</w:t>
            </w:r>
          </w:p>
          <w:p>
            <w:pPr>
              <w:pStyle w:val="Contenudetableau"/>
              <w:widowControl w:val="false"/>
              <w:jc w:val="both"/>
              <w:rPr>
                <w:rFonts w:ascii="Arial" w:hAnsi="Arial"/>
                <w:color w:val="000000"/>
                <w:sz w:val="22"/>
                <w:szCs w:val="22"/>
              </w:rPr>
            </w:pPr>
            <w:r>
              <w:rPr>
                <w:color w:val="000000"/>
                <w:sz w:val="22"/>
                <w:szCs w:val="22"/>
              </w:rPr>
            </w:r>
          </w:p>
          <w:p>
            <w:pPr>
              <w:pStyle w:val="Normal"/>
              <w:widowControl w:val="false"/>
              <w:pBdr>
                <w:top w:val="single" w:sz="4" w:space="1" w:color="000000"/>
                <w:left w:val="single" w:sz="4" w:space="4" w:color="000000"/>
                <w:bottom w:val="single" w:sz="4" w:space="1" w:color="000000"/>
                <w:right w:val="single" w:sz="4" w:space="4" w:color="000000"/>
              </w:pBdr>
              <w:jc w:val="both"/>
              <w:rPr>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jc w:val="both"/>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jc w:val="both"/>
              <w:rPr>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jc w:val="both"/>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jc w:val="both"/>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Qualité des moyens techniques et des livrables associés pour l’exécution des prestations</w:t>
            </w:r>
          </w:p>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(10 pts – évalué au regard des exigences du CCTP)</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color w:val="000000"/>
              </w:rPr>
            </w:pPr>
            <w:r>
              <w:rPr>
                <w:color w:val="000000"/>
                <w:sz w:val="22"/>
                <w:szCs w:val="22"/>
              </w:rPr>
              <w:t xml:space="preserve">1) </w:t>
            </w:r>
            <w:r>
              <w:rPr>
                <w:i/>
                <w:iCs/>
                <w:color w:val="000000"/>
                <w:sz w:val="22"/>
                <w:szCs w:val="22"/>
              </w:rPr>
              <w:t>Détaillez les matériels et moyens techniques dont vous disposez pour réaliser les diagnostics (</w:t>
            </w:r>
            <w:r>
              <w:rPr>
                <w:rFonts w:eastAsia="Times New Roman" w:cs="Times New Roman"/>
                <w:b w:val="false"/>
                <w:bCs w:val="false"/>
                <w:i/>
                <w:iCs/>
                <w:color w:val="000000"/>
                <w:kern w:val="0"/>
                <w:sz w:val="22"/>
                <w:szCs w:val="22"/>
                <w:shd w:fill="auto" w:val="clear"/>
                <w:lang w:val="fr-FR" w:eastAsia="fr-FR" w:bidi="ar-SA"/>
              </w:rPr>
              <w:t>modes opératoires et matériels prévus pour la réalisation de l’ensemble des investigations)</w:t>
            </w:r>
          </w:p>
          <w:p>
            <w:pPr>
              <w:pStyle w:val="Contenudetableau"/>
              <w:widowControl w:val="false"/>
              <w:jc w:val="both"/>
              <w:rPr>
                <w:color w:val="000000"/>
              </w:rPr>
            </w:pPr>
            <w:r>
              <w:rPr>
                <w:color w:val="000000"/>
              </w:rPr>
            </w:r>
          </w:p>
          <w:p>
            <w:pPr>
              <w:pStyle w:val="Contenudetableau"/>
              <w:widowControl w:val="false"/>
              <w:jc w:val="both"/>
              <w:rPr>
                <w:color w:val="000000"/>
              </w:rPr>
            </w:pPr>
            <w:r>
              <w:rPr>
                <w:color w:val="000000"/>
                <w:sz w:val="22"/>
                <w:szCs w:val="22"/>
              </w:rPr>
              <w:t>=&gt;</w:t>
            </w:r>
          </w:p>
          <w:p>
            <w:pPr>
              <w:pStyle w:val="Contenudetableau"/>
              <w:widowControl w:val="false"/>
              <w:jc w:val="both"/>
              <w:rPr>
                <w:color w:val="000000"/>
              </w:rPr>
            </w:pPr>
            <w:r>
              <w:rPr>
                <w:color w:val="000000"/>
              </w:rPr>
            </w:r>
          </w:p>
          <w:p>
            <w:pPr>
              <w:pStyle w:val="Contenudetableau"/>
              <w:widowControl w:val="false"/>
              <w:jc w:val="both"/>
              <w:rPr>
                <w:color w:val="000000"/>
              </w:rPr>
            </w:pPr>
            <w:r>
              <w:rPr>
                <w:color w:val="000000"/>
              </w:rPr>
            </w:r>
          </w:p>
          <w:p>
            <w:pPr>
              <w:pStyle w:val="Contenudetableau"/>
              <w:widowControl w:val="false"/>
              <w:jc w:val="both"/>
              <w:rPr>
                <w:color w:val="000000"/>
              </w:rPr>
            </w:pPr>
            <w:r>
              <w:rPr>
                <w:i w:val="false"/>
                <w:iCs w:val="false"/>
                <w:color w:val="000000"/>
                <w:sz w:val="22"/>
                <w:szCs w:val="22"/>
              </w:rPr>
              <w:t>2)</w:t>
            </w:r>
            <w:r>
              <w:rPr>
                <w:i/>
                <w:iCs/>
                <w:color w:val="000000"/>
                <w:sz w:val="22"/>
                <w:szCs w:val="22"/>
              </w:rPr>
              <w:t xml:space="preserve"> Décrivez les m</w:t>
            </w:r>
            <w:r>
              <w:rPr>
                <w:rFonts w:eastAsia="Times New Roman" w:cs="Times New Roman"/>
                <w:b w:val="false"/>
                <w:bCs w:val="false"/>
                <w:i/>
                <w:iCs/>
                <w:color w:val="000000"/>
                <w:kern w:val="0"/>
                <w:sz w:val="22"/>
                <w:szCs w:val="22"/>
                <w:shd w:fill="auto" w:val="clear"/>
                <w:lang w:val="fr-FR" w:eastAsia="fr-FR" w:bidi="ar-SA"/>
              </w:rPr>
              <w:t>odalités et supports de suivi des campagnes de contrôles telles que décrites au CCTP, et que vous proposez de transmettre à la conduite d’opération en prenant en compte les éléments suivants :</w:t>
            </w:r>
          </w:p>
          <w:p>
            <w:pPr>
              <w:pStyle w:val="Contenudetableau"/>
              <w:widowControl w:val="false"/>
              <w:jc w:val="left"/>
              <w:rPr/>
            </w:pPr>
            <w:r>
              <w:rPr>
                <w:rFonts w:eastAsia="Times New Roman" w:cs="Times New Roman"/>
                <w:b w:val="false"/>
                <w:bCs w:val="false"/>
                <w:i/>
                <w:iCs/>
                <w:color w:val="000000"/>
                <w:kern w:val="0"/>
                <w:sz w:val="22"/>
                <w:szCs w:val="22"/>
                <w:shd w:fill="auto" w:val="clear"/>
                <w:lang w:val="fr-FR" w:eastAsia="fr-FR" w:bidi="ar-SA"/>
              </w:rPr>
              <w:t>- Mode de partage des plannings d’intervention ( ajout de captures d’écran possible)</w:t>
              <w:br/>
              <w:t>- Réalisation et transmission de synthèses par bon de commande</w:t>
              <w:br/>
              <w:t>- Transmission hebdomadaire d’un suivi actualisé</w:t>
              <w:br/>
              <w:t>- Présentation des résultats des investigations (selon le modèle fourni par la collectivité)</w:t>
              <w:br/>
              <w:t>- Présentation de statistiques (répartition des avis, quantification des types d'anomalies observés.…)</w:t>
            </w:r>
            <w:r>
              <w:rPr>
                <w:i/>
                <w:iCs/>
                <w:color w:val="000000"/>
                <w:sz w:val="22"/>
                <w:szCs w:val="22"/>
              </w:rPr>
              <w:t xml:space="preserve"> :</w:t>
            </w:r>
            <w:r>
              <w:rPr/>
              <w:commentReference w:id="3"/>
            </w:r>
            <w:r>
              <w:rPr/>
              <w:commentReference w:id="4"/>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both"/>
              <w:rPr>
                <w:color w:val="000000"/>
                <w:sz w:val="22"/>
                <w:szCs w:val="22"/>
              </w:rPr>
            </w:pPr>
            <w:r>
              <w:rPr>
                <w:color w:val="000000"/>
                <w:sz w:val="22"/>
                <w:szCs w:val="22"/>
              </w:rPr>
              <w:t>=&gt;</w:t>
            </w:r>
          </w:p>
          <w:p>
            <w:pPr>
              <w:pStyle w:val="Contenudetableau"/>
              <w:widowControl w:val="false"/>
              <w:jc w:val="both"/>
              <w:rPr>
                <w:color w:val="000000"/>
                <w:sz w:val="22"/>
                <w:szCs w:val="22"/>
              </w:rPr>
            </w:pPr>
            <w:r>
              <w:rPr>
                <w:color w:val="000000"/>
                <w:sz w:val="22"/>
                <w:szCs w:val="22"/>
              </w:rPr>
            </w:r>
          </w:p>
          <w:p>
            <w:pPr>
              <w:pStyle w:val="Contenudetableau"/>
              <w:widowControl w:val="false"/>
              <w:jc w:val="both"/>
              <w:rPr>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jc w:val="left"/>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Cas pratiques</w:t>
            </w:r>
          </w:p>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(15 pts – évalué au regard des exigences du CCTP)</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rFonts w:ascii="Arial" w:hAnsi="Arial"/>
                <w:color w:val="000000"/>
                <w:sz w:val="22"/>
                <w:szCs w:val="22"/>
              </w:rPr>
            </w:pPr>
            <w:r>
              <w:rPr>
                <w:color w:val="000000"/>
                <w:sz w:val="22"/>
                <w:szCs w:val="22"/>
              </w:rPr>
              <w:t>A travers les réponses aux cas pratiques ci-dessous, l’acheteur évaluera la qualité et la pertinence de l’offre proposée, ainsi que sa cohérence avec les informations précédemment fournies par le candidat. Il est attendu une description complète de la méthodologie mise en œuvre par le candidat (avec exemple de livrables associés quand c’est nécessaire) tenant compte des éléments figurant CCTP.</w:t>
            </w:r>
          </w:p>
          <w:p>
            <w:pPr>
              <w:pStyle w:val="Contenudetableau"/>
              <w:widowControl w:val="false"/>
              <w:jc w:val="both"/>
              <w:rPr>
                <w:rFonts w:ascii="Arial" w:hAnsi="Arial"/>
                <w:color w:val="000000"/>
                <w:sz w:val="22"/>
                <w:szCs w:val="22"/>
              </w:rPr>
            </w:pPr>
            <w:r>
              <w:rPr>
                <w:color w:val="000000"/>
                <w:sz w:val="22"/>
                <w:szCs w:val="22"/>
              </w:rPr>
            </w:r>
          </w:p>
          <w:p>
            <w:pPr>
              <w:pStyle w:val="Contenudetableau"/>
              <w:widowControl w:val="false"/>
              <w:jc w:val="both"/>
              <w:rPr>
                <w:color w:val="000000"/>
              </w:rPr>
            </w:pPr>
            <w:r>
              <w:rPr>
                <w:color w:val="000000"/>
                <w:sz w:val="22"/>
                <w:szCs w:val="22"/>
              </w:rPr>
              <w:t>1) Diagnostic de branchement n°1</w:t>
            </w:r>
          </w:p>
          <w:p>
            <w:pPr>
              <w:pStyle w:val="Contenudetableau"/>
              <w:widowControl w:val="false"/>
              <w:jc w:val="both"/>
              <w:rPr>
                <w:color w:val="000000"/>
              </w:rPr>
            </w:pPr>
            <w:r>
              <w:rPr>
                <w:color w:val="000000"/>
                <w:sz w:val="22"/>
                <w:szCs w:val="22"/>
              </w:rPr>
              <w:t>L’habitation est desservie par un réseau unitaire au droit de sa parcelle. Lors des tests d’écoulement des eaux usées et des eaux pluviales nous constatons une interconnexion en partie privative de l’habitation. L’ensemble des eaux sont ensuite dirigées vers le collecteur sans boite de branchement.</w:t>
            </w:r>
          </w:p>
          <w:p>
            <w:pPr>
              <w:pStyle w:val="Contenudetableau"/>
              <w:widowControl w:val="false"/>
              <w:jc w:val="both"/>
              <w:rPr>
                <w:color w:val="000000"/>
              </w:rPr>
            </w:pPr>
            <w:r>
              <w:rPr>
                <w:color w:val="000000"/>
                <w:sz w:val="22"/>
                <w:szCs w:val="22"/>
              </w:rPr>
              <w:t>=&gt;</w:t>
            </w:r>
          </w:p>
          <w:p>
            <w:pPr>
              <w:pStyle w:val="Contenudetableau"/>
              <w:widowControl w:val="false"/>
              <w:jc w:val="both"/>
              <w:rPr>
                <w:color w:val="000000"/>
              </w:rPr>
            </w:pPr>
            <w:r>
              <w:rPr>
                <w:color w:val="000000"/>
              </w:rPr>
            </w:r>
          </w:p>
          <w:p>
            <w:pPr>
              <w:pStyle w:val="Contenudetableau"/>
              <w:widowControl w:val="false"/>
              <w:jc w:val="both"/>
              <w:rPr>
                <w:color w:val="000000"/>
              </w:rPr>
            </w:pPr>
            <w:r>
              <w:rPr>
                <w:i w:val="false"/>
                <w:iCs w:val="false"/>
                <w:color w:val="000000"/>
                <w:sz w:val="22"/>
                <w:szCs w:val="22"/>
              </w:rPr>
              <w:t>2)</w:t>
            </w:r>
            <w:r>
              <w:rPr>
                <w:i/>
                <w:iCs/>
                <w:color w:val="000000"/>
                <w:sz w:val="22"/>
                <w:szCs w:val="22"/>
              </w:rPr>
              <w:t xml:space="preserve"> Diagnostic de branchement n°2</w:t>
            </w:r>
          </w:p>
          <w:p>
            <w:pPr>
              <w:pStyle w:val="Contenudetableau"/>
              <w:widowControl w:val="false"/>
              <w:jc w:val="both"/>
              <w:rPr>
                <w:color w:val="000000"/>
              </w:rPr>
            </w:pPr>
            <w:r>
              <w:rPr>
                <w:color w:val="000000"/>
                <w:sz w:val="22"/>
                <w:szCs w:val="22"/>
              </w:rPr>
              <w:t>L’habitation est desservie par un réseau séparatif au droit de sa parcelle. Lors des tests d’écoulement des eaux pluviales nous constatons qu’une partie de ces eaux sont sur le terrain de l’usager, l’écoulement est en surface libre. Les eaux usées des toilettes sont collectées dans une fosse puis dirigées avec le reste des eaux usées vers la boite de branchement du réseaux d’eaux usées.</w:t>
            </w:r>
          </w:p>
          <w:p>
            <w:pPr>
              <w:pStyle w:val="Contenudetableau"/>
              <w:widowControl w:val="false"/>
              <w:jc w:val="both"/>
              <w:rPr>
                <w:color w:val="000000"/>
                <w:sz w:val="22"/>
                <w:szCs w:val="22"/>
              </w:rPr>
            </w:pPr>
            <w:r>
              <w:rPr>
                <w:color w:val="000000"/>
                <w:sz w:val="22"/>
                <w:szCs w:val="22"/>
              </w:rPr>
              <w:t>=&gt;</w:t>
            </w:r>
          </w:p>
          <w:p>
            <w:pPr>
              <w:pStyle w:val="Contenudetableau"/>
              <w:widowControl w:val="false"/>
              <w:jc w:val="both"/>
              <w:rPr>
                <w:color w:val="000000"/>
                <w:sz w:val="22"/>
                <w:szCs w:val="22"/>
              </w:rPr>
            </w:pPr>
            <w:r>
              <w:rPr>
                <w:color w:val="000000"/>
                <w:sz w:val="22"/>
                <w:szCs w:val="22"/>
              </w:rPr>
            </w:r>
          </w:p>
          <w:p>
            <w:pPr>
              <w:pStyle w:val="Contenudetableau"/>
              <w:widowControl w:val="false"/>
              <w:jc w:val="both"/>
              <w:rPr>
                <w:rFonts w:ascii="Arial" w:hAnsi="Arial" w:eastAsia="Times New Roman" w:cs="Times New Roman"/>
                <w:b w:val="false"/>
                <w:b w:val="false"/>
                <w:bCs w:val="false"/>
                <w:color w:val="000000"/>
                <w:kern w:val="0"/>
                <w:sz w:val="22"/>
                <w:szCs w:val="22"/>
                <w:lang w:val="fr-FR" w:eastAsia="fr-FR" w:bidi="ar-SA"/>
              </w:rPr>
            </w:pPr>
            <w:r>
              <w:rPr>
                <w:rFonts w:eastAsia="Times New Roman" w:cs="Times New Roman"/>
                <w:b w:val="false"/>
                <w:bCs w:val="false"/>
                <w:i w:val="false"/>
                <w:iCs w:val="false"/>
                <w:color w:val="000000"/>
                <w:kern w:val="0"/>
                <w:sz w:val="22"/>
                <w:szCs w:val="22"/>
                <w:lang w:val="fr-FR" w:eastAsia="fr-FR" w:bidi="ar-SA"/>
              </w:rPr>
              <w:t>3)</w:t>
            </w:r>
            <w:r>
              <w:rPr>
                <w:rFonts w:eastAsia="Times New Roman" w:cs="Times New Roman"/>
                <w:b w:val="false"/>
                <w:bCs w:val="false"/>
                <w:i/>
                <w:iCs/>
                <w:color w:val="000000"/>
                <w:kern w:val="0"/>
                <w:sz w:val="22"/>
                <w:szCs w:val="22"/>
                <w:lang w:val="fr-FR" w:eastAsia="fr-FR" w:bidi="ar-SA"/>
              </w:rPr>
              <w:t xml:space="preserve"> Diagnostic de branchement n°3</w:t>
            </w:r>
          </w:p>
          <w:p>
            <w:pPr>
              <w:pStyle w:val="Contenudetableau"/>
              <w:widowControl w:val="false"/>
              <w:jc w:val="both"/>
              <w:rPr>
                <w:rFonts w:eastAsia="Times New Roman" w:cs="Times New Roman"/>
                <w:b w:val="false"/>
                <w:b w:val="false"/>
                <w:bCs w:val="false"/>
                <w:i w:val="false"/>
                <w:i w:val="false"/>
                <w:iCs w:val="false"/>
                <w:kern w:val="0"/>
                <w:lang w:val="fr-FR" w:eastAsia="fr-FR" w:bidi="ar-SA"/>
              </w:rPr>
            </w:pPr>
            <w:r>
              <w:rPr>
                <w:rFonts w:eastAsia="Times New Roman" w:cs="Times New Roman"/>
                <w:b w:val="false"/>
                <w:bCs w:val="false"/>
                <w:i w:val="false"/>
                <w:iCs w:val="false"/>
                <w:color w:val="000000"/>
                <w:kern w:val="0"/>
                <w:sz w:val="22"/>
                <w:szCs w:val="22"/>
                <w:lang w:val="fr-FR" w:eastAsia="fr-FR" w:bidi="ar-SA"/>
              </w:rPr>
              <w:t>L’habitation est desservie par un réseau séparatif au droit de sa parcelle. Lors des tests d’écoulement des eaux pluviales nous constatons qu’une partie de ces eaux sont dirigées vers une noue d’infiltration sur le terrain de l’usager,  les eaux pluviales du devant de l’habitation sont collectées et dirigées vers une gargouille située sur le domaine communal. Un siphon de sol situé au niveau de la terrasse a l’arrière de l’habitation collecte des eaux pluviales, elles sont ensuite connectées a la canalisation principale d’eaux usées de l’habitation. Enfin l’ensemble des eaux usées sont collectées et dirigées vers le réseaux d’eaux pluviales.</w:t>
            </w:r>
          </w:p>
          <w:p>
            <w:pPr>
              <w:pStyle w:val="Contenudetableau"/>
              <w:widowControl w:val="false"/>
              <w:jc w:val="both"/>
              <w:rPr>
                <w:color w:val="000000"/>
              </w:rPr>
            </w:pPr>
            <w:r>
              <w:rPr>
                <w:color w:val="000000"/>
              </w:rPr>
            </w:r>
          </w:p>
          <w:p>
            <w:pPr>
              <w:pStyle w:val="Contenudetableau"/>
              <w:widowControl w:val="false"/>
              <w:jc w:val="both"/>
              <w:rPr>
                <w:color w:val="000000"/>
              </w:rPr>
            </w:pPr>
            <w:r>
              <w:rPr>
                <w:rFonts w:eastAsia="Times New Roman" w:cs="Times New Roman"/>
                <w:b w:val="false"/>
                <w:bCs w:val="false"/>
                <w:i w:val="false"/>
                <w:iCs w:val="false"/>
                <w:color w:val="000000"/>
                <w:kern w:val="0"/>
                <w:sz w:val="22"/>
                <w:szCs w:val="22"/>
                <w:lang w:val="fr-FR" w:eastAsia="fr-FR" w:bidi="ar-SA"/>
              </w:rPr>
              <w:t>3)</w:t>
            </w:r>
            <w:r>
              <w:rPr>
                <w:rFonts w:eastAsia="Times New Roman" w:cs="Times New Roman"/>
                <w:b w:val="false"/>
                <w:bCs w:val="false"/>
                <w:i/>
                <w:iCs/>
                <w:color w:val="000000"/>
                <w:kern w:val="0"/>
                <w:sz w:val="22"/>
                <w:szCs w:val="22"/>
                <w:lang w:val="fr-FR" w:eastAsia="fr-FR" w:bidi="ar-SA"/>
              </w:rPr>
              <w:t xml:space="preserve"> Diagnostic de branchement n°4</w:t>
            </w:r>
          </w:p>
          <w:p>
            <w:pPr>
              <w:pStyle w:val="Contenudetableau"/>
              <w:widowControl w:val="false"/>
              <w:jc w:val="both"/>
              <w:rPr>
                <w:rFonts w:ascii="Arial" w:hAnsi="Arial" w:eastAsia="Times New Roman" w:cs="Times New Roman"/>
                <w:b w:val="false"/>
                <w:b w:val="false"/>
                <w:bCs w:val="false"/>
                <w:i w:val="false"/>
                <w:i w:val="false"/>
                <w:iCs w:val="false"/>
                <w:color w:val="000000"/>
                <w:kern w:val="0"/>
                <w:sz w:val="22"/>
                <w:szCs w:val="22"/>
                <w:lang w:val="fr-FR" w:eastAsia="fr-FR" w:bidi="ar-SA"/>
              </w:rPr>
            </w:pPr>
            <w:r>
              <w:rPr>
                <w:rFonts w:eastAsia="Times New Roman" w:cs="Times New Roman"/>
                <w:b w:val="false"/>
                <w:bCs w:val="false"/>
                <w:i w:val="false"/>
                <w:iCs w:val="false"/>
                <w:color w:val="000000"/>
                <w:kern w:val="0"/>
                <w:sz w:val="22"/>
                <w:szCs w:val="22"/>
                <w:lang w:val="fr-FR" w:eastAsia="fr-FR" w:bidi="ar-SA"/>
              </w:rPr>
              <w:t>L’habitation est desservie par un réseau séparatif au droit de sa parcelle. Lors des tests d’écoulement le contrôleur a pu déterminer les exutoires de l’ensemble des eaux pluviales. Concernant les eaux usées, malgré les tests d’écoulement les eaux usées de l’arrière cuisine non pas pu être constatées au réseau.</w:t>
            </w:r>
          </w:p>
        </w:tc>
      </w:tr>
    </w:tbl>
    <w:p>
      <w:pPr>
        <w:pStyle w:val="Normal"/>
        <w:rPr>
          <w:rFonts w:ascii="Arial" w:hAnsi="Arial"/>
          <w:color w:val="000000"/>
        </w:rPr>
      </w:pPr>
      <w:r>
        <w:rPr>
          <w:color w:val="000000"/>
        </w:rPr>
      </w:r>
    </w:p>
    <w:p>
      <w:pPr>
        <w:pStyle w:val="Normal"/>
        <w:rPr>
          <w:rFonts w:ascii="Arial" w:hAnsi="Arial"/>
          <w:color w:val="000000"/>
        </w:rPr>
      </w:pPr>
      <w:r>
        <w:rPr>
          <w:color w:val="000000"/>
        </w:rPr>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mandine" w:date="2024-09-18T13:37:25Z" w:initials="A">
    <w:p>
      <w:r>
        <w:rPr>
          <w:rFonts w:ascii="Calibri" w:hAnsi="Calibri" w:eastAsia="Calibri" w:cs=""/>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2"/>
          <w:u w:val="none"/>
          <w:vertAlign w:val="baseline"/>
          <w:em w:val="none"/>
          <w:lang w:val="fr-FR" w:eastAsia="en-US" w:bidi="ar-SA"/>
        </w:rPr>
        <w:t>?</w:t>
      </w:r>
    </w:p>
  </w:comment>
  <w:comment w:id="1" w:author="Auteur inconnu" w:date="2024-10-30T08:30:01Z" w:initials="">
    <w:p>
      <w:r>
        <w:rPr>
          <w:rFonts w:ascii="Calibri" w:hAnsi="Calibri" w:eastAsia="Calibri" w:cs=""/>
          <w:b w:val="false"/>
          <w:bCs w:val="false"/>
          <w:i/>
          <w:iCs w:val="false"/>
          <w:caps w:val="false"/>
          <w:smallCaps w:val="false"/>
          <w:strike w:val="false"/>
          <w:dstrike w:val="false"/>
          <w:outline w:val="false"/>
          <w:shadow w:val="false"/>
          <w:emboss w:val="false"/>
          <w:imprint w:val="false"/>
          <w:color w:val="auto"/>
          <w:spacing w:val="0"/>
          <w:w w:val="100"/>
          <w:kern w:val="0"/>
          <w:position w:val="0"/>
          <w:sz w:val="16"/>
          <w:sz w:val="16"/>
          <w:szCs w:val="22"/>
          <w:u w:val="none"/>
          <w:vertAlign w:val="baseline"/>
          <w:em w:val="none"/>
          <w:lang w:val="fr-FR" w:eastAsia="en-US" w:bidi="ar-SA"/>
        </w:rPr>
        <w:t>Répondre à Amandine (18/09/2024, 13:37): "..."</w:t>
      </w:r>
    </w:p>
    <w:p>
      <w:r>
        <w:rPr>
          <w:rFonts w:ascii="Liberation Serif" w:hAnsi="Liberation Serif" w:eastAsia="Segoe UI" w:cs="Tahoma"/>
          <w:sz w:val="20"/>
          <w:szCs w:val="24"/>
          <w:lang w:val="fr-FR" w:eastAsia="en-US" w:bidi="ar-SA"/>
        </w:rPr>
        <w:t>L’idée est que le titulaire peut avoir un process ou des piste d’amélioration concernant la prestations auquel nous n’avons pas pensé</w:t>
      </w:r>
    </w:p>
  </w:comment>
  <w:comment w:id="2" w:author="Amandine" w:date="2024-11-07T09:56:17Z" w:initials="A">
    <w:p>
      <w:r>
        <w:rPr>
          <w:rFonts w:ascii="Calibri" w:hAnsi="Calibri" w:eastAsia="Calibri" w:cs=""/>
          <w:b w:val="false"/>
          <w:bCs w:val="false"/>
          <w:i/>
          <w:iCs w:val="false"/>
          <w:caps w:val="false"/>
          <w:smallCaps w:val="false"/>
          <w:strike w:val="false"/>
          <w:dstrike w:val="false"/>
          <w:outline w:val="false"/>
          <w:shadow w:val="false"/>
          <w:emboss w:val="false"/>
          <w:imprint w:val="false"/>
          <w:color w:val="auto"/>
          <w:spacing w:val="0"/>
          <w:w w:val="100"/>
          <w:kern w:val="0"/>
          <w:position w:val="0"/>
          <w:sz w:val="16"/>
          <w:sz w:val="16"/>
          <w:szCs w:val="22"/>
          <w:u w:val="none"/>
          <w:vertAlign w:val="baseline"/>
          <w:em w:val="none"/>
          <w:lang w:val="fr-FR" w:eastAsia="en-US" w:bidi="ar-SA"/>
        </w:rPr>
        <w:t>Répondre à Auteur inconnu (30/10/2024, 08:30): "..."</w:t>
      </w:r>
    </w:p>
    <w:p>
      <w:r>
        <w:rPr>
          <w:rFonts w:ascii="Liberation Serif" w:hAnsi="Liberation Serif" w:eastAsia="Segoe UI" w:cs="Tahoma"/>
          <w:sz w:val="20"/>
          <w:szCs w:val="24"/>
          <w:lang w:val="fr-FR" w:eastAsia="en-US" w:bidi="ar-SA"/>
        </w:rPr>
        <w:t>On ne peut pas demander à un candidat de faire des propositionsde ce type… il doit adhérer au cahier des charges que vous proposez</w:t>
      </w:r>
    </w:p>
    <w:p>
      <w:r>
        <w:rPr>
          <w:rFonts w:ascii="Liberation Serif" w:hAnsi="Liberation Serif" w:eastAsia="Segoe UI" w:cs="Tahoma"/>
          <w:sz w:val="20"/>
          <w:szCs w:val="24"/>
          <w:lang w:val="fr-FR" w:eastAsia="en-US" w:bidi="ar-SA"/>
        </w:rPr>
        <w:t>S’il fait des propositions, quid ? Ça peut être pertinent et intéressant mais elles ne pourront pas être intégrées au contrat si cela contredit/modifie le CCTP</w:t>
      </w:r>
    </w:p>
    <w:p>
      <w:r>
        <w:rPr>
          <w:rFonts w:ascii="Liberation Serif" w:hAnsi="Liberation Serif" w:eastAsia="Segoe UI" w:cs="Tahoma"/>
          <w:sz w:val="20"/>
          <w:szCs w:val="24"/>
          <w:lang w:val="fr-FR" w:eastAsia="en-US" w:bidi="ar-SA"/>
        </w:rPr>
        <w:t>Cela pourrait se faire si le CCTP était très évasif sur la façon de parvenir au résultat et qu’on retenait un candidat sur ses propostions de méthodo par expl, mais ce n’est pas le cas ici</w:t>
      </w:r>
    </w:p>
  </w:comment>
  <w:comment w:id="3" w:author="Amandine" w:date="2024-09-10T11:21:50Z" w:initials="A">
    <w:p>
      <w:r>
        <w:rPr>
          <w:rFonts w:ascii="Calibri" w:hAnsi="Calibri" w:eastAsia="Calibri" w:cs=""/>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2"/>
          <w:u w:val="none"/>
          <w:vertAlign w:val="baseline"/>
          <w:em w:val="none"/>
          <w:lang w:val="fr-FR" w:eastAsia="en-US" w:bidi="ar-SA"/>
        </w:rPr>
        <w:t>Intégrer la question du moyen de planning partagé (cctp p30) ?</w:t>
      </w:r>
    </w:p>
  </w:comment>
  <w:comment w:id="4" w:author="Auteur inconnu" w:date="2024-10-29T13:48:41Z" w:initials="">
    <w:p>
      <w:r>
        <w:rPr>
          <w:rFonts w:ascii="Calibri" w:hAnsi="Calibri" w:eastAsia="Calibri" w:cs=""/>
          <w:b w:val="false"/>
          <w:bCs w:val="false"/>
          <w:i/>
          <w:iCs w:val="false"/>
          <w:caps w:val="false"/>
          <w:smallCaps w:val="false"/>
          <w:strike w:val="false"/>
          <w:dstrike w:val="false"/>
          <w:outline w:val="false"/>
          <w:shadow w:val="false"/>
          <w:emboss w:val="false"/>
          <w:imprint w:val="false"/>
          <w:color w:val="auto"/>
          <w:spacing w:val="0"/>
          <w:w w:val="100"/>
          <w:kern w:val="0"/>
          <w:position w:val="0"/>
          <w:sz w:val="16"/>
          <w:sz w:val="16"/>
          <w:szCs w:val="22"/>
          <w:u w:val="none"/>
          <w:vertAlign w:val="baseline"/>
          <w:em w:val="none"/>
          <w:lang w:val="fr-FR" w:eastAsia="en-US" w:bidi="ar-SA"/>
        </w:rPr>
        <w:t>Répondre à Amandine (10/09/2024, 11:21): "..."</w:t>
      </w:r>
    </w:p>
    <w:p>
      <w:r>
        <w:rPr>
          <w:rFonts w:ascii="Liberation Serif" w:hAnsi="Liberation Serif" w:eastAsia="Segoe UI" w:cs="Tahoma"/>
          <w:sz w:val="20"/>
          <w:szCs w:val="24"/>
          <w:lang w:val="fr-FR" w:eastAsia="en-US" w:bidi="ar-SA"/>
        </w:rPr>
        <w:t>Le planning partagé correspond au planning d’intervention</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 w:name="Liberation Serif">
    <w:altName w:val="Times New Roman"/>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4</w:t>
      <w:tab/>
    </w:r>
    <w:r>
      <w:rPr>
        <w:b/>
      </w:rPr>
      <w:fldChar w:fldCharType="begin"/>
    </w:r>
    <w:r>
      <w:rPr>
        <w:b/>
      </w:rPr>
      <w:instrText> PAGE </w:instrText>
    </w:r>
    <w:r>
      <w:rPr>
        <w:b/>
      </w:rPr>
      <w:fldChar w:fldCharType="separate"/>
    </w:r>
    <w:r>
      <w:rPr>
        <w:b/>
      </w:rPr>
      <w:t>5</w:t>
    </w:r>
    <w:r>
      <w:rPr>
        <w:b/>
      </w:rPr>
      <w:fldChar w:fldCharType="end"/>
    </w:r>
    <w:r>
      <w:rPr/>
      <w:t xml:space="preserve"> sur </w:t>
    </w:r>
    <w:r>
      <w:rPr>
        <w:b/>
      </w:rPr>
      <w:fldChar w:fldCharType="begin"/>
    </w:r>
    <w:r>
      <w:rPr>
        <w:b/>
      </w:rPr>
      <w:instrText> NUMPAGES </w:instrText>
    </w:r>
    <w:r>
      <w:rPr>
        <w:b/>
      </w:rPr>
      <w:fldChar w:fldCharType="separate"/>
    </w:r>
    <w:r>
      <w:rPr>
        <w:b/>
      </w:rPr>
      <w:t>5</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comments" Target="comment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7538</TotalTime>
  <Application>LibreOffice/7.2.6.2$Windows_X86_64 LibreOffice_project/b0ec3a565991f7569a5a7f5d24fed7f52653d754</Application>
  <AppVersion>15.0000</AppVersion>
  <Pages>5</Pages>
  <Words>1176</Words>
  <Characters>6507</Characters>
  <CharactersWithSpaces>7622</CharactersWithSpaces>
  <Paragraphs>83</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2023-01-20T17:11:00Z</dcterms:created>
  <dc:creator>Marilyne MM. Morin</dc:creator>
  <dc:description/>
  <dc:language>fr-FR</dc:language>
  <cp:lastModifiedBy>Amandine</cp:lastModifiedBy>
  <cp:lastPrinted>2024-07-23T10:27:25Z</cp:lastPrinted>
  <dcterms:modified xsi:type="dcterms:W3CDTF">2025-01-07T16:01:41Z</dcterms:modified>
  <cp:revision>144</cp:revision>
  <dc:subject/>
  <dc:title>RTF Template</dc:title>
</cp:coreProperties>
</file>

<file path=docProps/custom.xml><?xml version="1.0" encoding="utf-8"?>
<Properties xmlns="http://schemas.openxmlformats.org/officeDocument/2006/custom-properties" xmlns:vt="http://schemas.openxmlformats.org/officeDocument/2006/docPropsVTypes"/>
</file>